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8070" w14:textId="77777777" w:rsidR="00FB6969" w:rsidRPr="0018346C" w:rsidRDefault="0018346C" w:rsidP="00FB6969">
      <w:pPr>
        <w:spacing w:line="264" w:lineRule="auto"/>
        <w:jc w:val="right"/>
        <w:rPr>
          <w:rFonts w:ascii="Calibri Light" w:hAnsi="Calibri Light" w:cs="Calibri Light"/>
          <w:color w:val="auto"/>
          <w:sz w:val="22"/>
          <w:szCs w:val="22"/>
          <w:lang w:val="en-GB"/>
        </w:rPr>
      </w:pPr>
      <w:r>
        <w:rPr>
          <w:rFonts w:ascii="Calibri Light" w:hAnsi="Calibri Light" w:cs="Calibri Light"/>
          <w:color w:val="auto"/>
          <w:sz w:val="22"/>
          <w:szCs w:val="22"/>
          <w:lang w:val="en"/>
        </w:rPr>
        <w:t>Appendix No. 6 to Resolution No. 524/2023</w:t>
      </w:r>
    </w:p>
    <w:p w14:paraId="397C86E6" w14:textId="3E833A75" w:rsidR="00FB6969" w:rsidRPr="0018346C" w:rsidRDefault="0018346C" w:rsidP="0018346C">
      <w:pPr>
        <w:spacing w:line="264" w:lineRule="auto"/>
        <w:jc w:val="right"/>
        <w:rPr>
          <w:rFonts w:ascii="Calibri Light" w:hAnsi="Calibri Light" w:cs="Calibri Light"/>
          <w:color w:val="auto"/>
          <w:sz w:val="22"/>
          <w:szCs w:val="22"/>
          <w:lang w:val="en-GB"/>
        </w:rPr>
      </w:pPr>
      <w:r>
        <w:rPr>
          <w:rFonts w:ascii="Calibri Light" w:hAnsi="Calibri Light" w:cs="Calibri Light"/>
          <w:color w:val="auto"/>
          <w:sz w:val="22"/>
          <w:szCs w:val="22"/>
          <w:lang w:val="en"/>
        </w:rPr>
        <w:t>Senate of the Maria Grzegorzewska University</w:t>
      </w:r>
    </w:p>
    <w:p w14:paraId="1CA79AC7" w14:textId="486A84FC" w:rsidR="0046023B" w:rsidRPr="0018346C" w:rsidRDefault="0018346C" w:rsidP="00FB6969">
      <w:pPr>
        <w:spacing w:line="264" w:lineRule="auto"/>
        <w:jc w:val="right"/>
        <w:rPr>
          <w:rFonts w:ascii="Calibri Light" w:hAnsi="Calibri Light" w:cs="Calibri Light"/>
          <w:color w:val="auto"/>
          <w:sz w:val="22"/>
          <w:szCs w:val="22"/>
          <w:lang w:val="en-GB"/>
        </w:rPr>
      </w:pPr>
      <w:r>
        <w:rPr>
          <w:rFonts w:ascii="Calibri Light" w:hAnsi="Calibri Light" w:cs="Calibri Light"/>
          <w:color w:val="auto"/>
          <w:sz w:val="22"/>
          <w:szCs w:val="22"/>
          <w:lang w:val="en"/>
        </w:rPr>
        <w:t>of 22 March 2023</w:t>
      </w:r>
    </w:p>
    <w:p w14:paraId="64E983FB" w14:textId="77777777" w:rsidR="0046023B" w:rsidRPr="0018346C" w:rsidRDefault="0018346C" w:rsidP="00FB6969">
      <w:pPr>
        <w:spacing w:before="240" w:after="240" w:line="264" w:lineRule="auto"/>
        <w:jc w:val="right"/>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[UNIDENTIFIED TEXT- March 2023]</w:t>
      </w:r>
    </w:p>
    <w:p w14:paraId="6D791D28" w14:textId="26B9B383" w:rsidR="0046023B" w:rsidRPr="0018346C" w:rsidRDefault="0018346C" w:rsidP="00FB6969">
      <w:pPr>
        <w:spacing w:line="264" w:lineRule="auto"/>
        <w:jc w:val="center"/>
        <w:rPr>
          <w:rFonts w:ascii="Times New Roman" w:hAnsi="Times New Roman" w:cs="Times New Roman"/>
          <w:color w:val="auto"/>
          <w:sz w:val="22"/>
          <w:szCs w:val="22"/>
          <w:lang w:val="en-GB"/>
        </w:rPr>
      </w:pPr>
      <w:r>
        <w:rPr>
          <w:rFonts w:ascii="Times New Roman" w:hAnsi="Times New Roman" w:cs="Times New Roman"/>
          <w:b/>
          <w:bCs/>
          <w:color w:val="auto"/>
          <w:sz w:val="22"/>
          <w:szCs w:val="22"/>
          <w:lang w:val="en"/>
        </w:rPr>
        <w:t xml:space="preserve">Regulations for professional internships (“practice”) </w:t>
      </w:r>
      <w:r>
        <w:rPr>
          <w:rFonts w:ascii="Times New Roman" w:hAnsi="Times New Roman" w:cs="Times New Roman"/>
          <w:color w:val="auto"/>
          <w:sz w:val="22"/>
          <w:szCs w:val="22"/>
          <w:lang w:val="en"/>
        </w:rPr>
        <w:br/>
      </w:r>
      <w:r>
        <w:rPr>
          <w:rFonts w:ascii="Times New Roman" w:hAnsi="Times New Roman" w:cs="Times New Roman"/>
          <w:b/>
          <w:bCs/>
          <w:color w:val="auto"/>
          <w:sz w:val="22"/>
          <w:szCs w:val="22"/>
          <w:lang w:val="en"/>
        </w:rPr>
        <w:t>at the Doctoral School of</w:t>
      </w:r>
    </w:p>
    <w:p w14:paraId="5A6073BA" w14:textId="683754F3" w:rsidR="0046023B" w:rsidRPr="0018346C" w:rsidRDefault="0018346C" w:rsidP="00FB6969">
      <w:pPr>
        <w:spacing w:line="264" w:lineRule="auto"/>
        <w:jc w:val="center"/>
        <w:rPr>
          <w:rFonts w:ascii="Times New Roman" w:hAnsi="Times New Roman" w:cs="Times New Roman"/>
          <w:color w:val="auto"/>
          <w:sz w:val="22"/>
          <w:szCs w:val="22"/>
          <w:lang w:val="en-GB"/>
        </w:rPr>
      </w:pPr>
      <w:r>
        <w:rPr>
          <w:rFonts w:ascii="Times New Roman" w:hAnsi="Times New Roman" w:cs="Times New Roman"/>
          <w:b/>
          <w:bCs/>
          <w:color w:val="auto"/>
          <w:sz w:val="22"/>
          <w:szCs w:val="22"/>
          <w:lang w:val="en"/>
        </w:rPr>
        <w:t>the Maria Grzegorzewska University</w:t>
      </w:r>
    </w:p>
    <w:p w14:paraId="41448B80" w14:textId="77777777" w:rsidR="0046023B" w:rsidRPr="0018346C" w:rsidRDefault="0018346C" w:rsidP="00FB6969">
      <w:pPr>
        <w:spacing w:before="480" w:line="264" w:lineRule="auto"/>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 xml:space="preserve">§ </w:t>
      </w:r>
      <w:r>
        <w:rPr>
          <w:rFonts w:ascii="Times New Roman" w:hAnsi="Times New Roman" w:cs="Times New Roman"/>
          <w:b/>
          <w:bCs/>
          <w:color w:val="auto"/>
          <w:sz w:val="22"/>
          <w:szCs w:val="22"/>
          <w:lang w:val="en"/>
        </w:rPr>
        <w:t>1</w:t>
      </w:r>
    </w:p>
    <w:p w14:paraId="7DA87AAC"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0" w:name="bookmark0"/>
      <w:r>
        <w:rPr>
          <w:rFonts w:ascii="Times New Roman" w:hAnsi="Times New Roman" w:cs="Times New Roman"/>
          <w:color w:val="auto"/>
          <w:sz w:val="22"/>
          <w:szCs w:val="22"/>
          <w:lang w:val="en"/>
        </w:rPr>
        <w:t>1</w:t>
      </w:r>
      <w:bookmarkEnd w:id="0"/>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Practice prepares doctoral students studying at the Doctoral School for the profession of academic teacher.</w:t>
      </w:r>
    </w:p>
    <w:p w14:paraId="43771C22" w14:textId="278C15A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 w:name="bookmark1"/>
      <w:r>
        <w:rPr>
          <w:rFonts w:ascii="Times New Roman" w:hAnsi="Times New Roman" w:cs="Times New Roman"/>
          <w:color w:val="auto"/>
          <w:sz w:val="22"/>
          <w:szCs w:val="22"/>
          <w:lang w:val="en"/>
        </w:rPr>
        <w:t>2</w:t>
      </w:r>
      <w:bookmarkEnd w:id="1"/>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Practice is carried out in the form of conducting or participating in teaching classes at the University</w:t>
      </w:r>
      <w:r>
        <w:rPr>
          <w:rFonts w:ascii="Times New Roman" w:hAnsi="Times New Roman" w:cs="Times New Roman"/>
          <w:color w:val="auto"/>
          <w:sz w:val="22"/>
          <w:szCs w:val="22"/>
          <w:lang w:val="en"/>
        </w:rPr>
        <w:t>.</w:t>
      </w:r>
    </w:p>
    <w:p w14:paraId="4B7F23BC" w14:textId="3A892AEF"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2" w:name="bookmark2"/>
      <w:r>
        <w:rPr>
          <w:rFonts w:ascii="Times New Roman" w:hAnsi="Times New Roman" w:cs="Times New Roman"/>
          <w:color w:val="auto"/>
          <w:sz w:val="22"/>
          <w:szCs w:val="22"/>
          <w:lang w:val="en"/>
        </w:rPr>
        <w:t>3</w:t>
      </w:r>
      <w:bookmarkEnd w:id="2"/>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Practice may be carried out in a form other than conducting or participating in teaching classes at the University</w:t>
      </w:r>
      <w:r>
        <w:rPr>
          <w:rFonts w:ascii="Times New Roman" w:hAnsi="Times New Roman" w:cs="Times New Roman"/>
          <w:color w:val="auto"/>
          <w:sz w:val="22"/>
          <w:szCs w:val="22"/>
          <w:lang w:val="en"/>
        </w:rPr>
        <w:t>. The Head of the Doctoral School, in consultation with the doctoral student’s supervisor, may grant the doctoral student consent for alternative forms of practice.</w:t>
      </w:r>
    </w:p>
    <w:p w14:paraId="678AC5E7" w14:textId="77777777" w:rsidR="0046023B" w:rsidRPr="0018346C" w:rsidRDefault="0018346C" w:rsidP="00EF1DD2">
      <w:pPr>
        <w:spacing w:before="240" w:line="264" w:lineRule="auto"/>
        <w:ind w:left="425" w:hanging="425"/>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 xml:space="preserve">§ </w:t>
      </w:r>
      <w:r>
        <w:rPr>
          <w:rFonts w:ascii="Times New Roman" w:hAnsi="Times New Roman" w:cs="Times New Roman"/>
          <w:b/>
          <w:bCs/>
          <w:color w:val="auto"/>
          <w:sz w:val="22"/>
          <w:szCs w:val="22"/>
          <w:lang w:val="en"/>
        </w:rPr>
        <w:t>2</w:t>
      </w:r>
    </w:p>
    <w:p w14:paraId="51D70A41" w14:textId="77777777" w:rsidR="0046023B" w:rsidRPr="0018346C" w:rsidRDefault="0018346C" w:rsidP="00EF1DD2">
      <w:pPr>
        <w:ind w:left="425" w:hanging="425"/>
        <w:jc w:val="both"/>
        <w:rPr>
          <w:rFonts w:ascii="Times New Roman" w:hAnsi="Times New Roman" w:cs="Times New Roman"/>
          <w:color w:val="auto"/>
          <w:sz w:val="22"/>
          <w:szCs w:val="22"/>
          <w:lang w:val="en-GB"/>
        </w:rPr>
      </w:pPr>
      <w:bookmarkStart w:id="3" w:name="bookmark3"/>
      <w:r>
        <w:rPr>
          <w:rFonts w:ascii="Times New Roman" w:hAnsi="Times New Roman" w:cs="Times New Roman"/>
          <w:color w:val="auto"/>
          <w:sz w:val="22"/>
          <w:szCs w:val="22"/>
          <w:lang w:val="en"/>
        </w:rPr>
        <w:t>1</w:t>
      </w:r>
      <w:bookmarkEnd w:id="3"/>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The amount of practice for doctoral students who took up their studies at the Doctoral School no later than in the 2022/2023 academic year and are pursuing a 6-semester program during their first, second, and third years is set at no more than 60 hours per year.</w:t>
      </w:r>
    </w:p>
    <w:p w14:paraId="41B14990" w14:textId="77777777" w:rsidR="0046023B" w:rsidRPr="0018346C" w:rsidRDefault="0018346C" w:rsidP="00EF1DD2">
      <w:pPr>
        <w:ind w:left="425" w:hanging="425"/>
        <w:jc w:val="both"/>
        <w:rPr>
          <w:rFonts w:ascii="Times New Roman" w:hAnsi="Times New Roman" w:cs="Times New Roman"/>
          <w:color w:val="auto"/>
          <w:sz w:val="22"/>
          <w:szCs w:val="22"/>
          <w:lang w:val="en-GB"/>
        </w:rPr>
      </w:pPr>
      <w:bookmarkStart w:id="4" w:name="bookmark4"/>
      <w:r>
        <w:rPr>
          <w:rFonts w:ascii="Times New Roman" w:hAnsi="Times New Roman" w:cs="Times New Roman"/>
          <w:color w:val="auto"/>
          <w:sz w:val="22"/>
          <w:szCs w:val="22"/>
          <w:lang w:val="en"/>
        </w:rPr>
        <w:t>2</w:t>
      </w:r>
      <w:bookmarkEnd w:id="4"/>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The amount of practice for doctoral students who took up their studies from the 2023/2024 academic year in an 8-semester program is set at 30 hours (in the form of co-teaching) in the first year, 60 hours per year (in the form of teaching) in the second and third years, and 30 hours (in the form of independent teaching) in the fourth year.</w:t>
      </w:r>
    </w:p>
    <w:p w14:paraId="495FED02" w14:textId="43E3D184" w:rsidR="0046023B" w:rsidRPr="0018346C" w:rsidRDefault="0018346C" w:rsidP="00EF1DD2">
      <w:pPr>
        <w:ind w:left="425" w:hanging="425"/>
        <w:jc w:val="both"/>
        <w:rPr>
          <w:rFonts w:ascii="Times New Roman" w:hAnsi="Times New Roman" w:cs="Times New Roman"/>
          <w:color w:val="auto"/>
          <w:sz w:val="22"/>
          <w:szCs w:val="22"/>
          <w:lang w:val="en-GB"/>
        </w:rPr>
      </w:pPr>
      <w:bookmarkStart w:id="5" w:name="bookmark5"/>
      <w:r>
        <w:rPr>
          <w:rFonts w:ascii="Times New Roman" w:hAnsi="Times New Roman" w:cs="Times New Roman"/>
          <w:color w:val="auto"/>
          <w:sz w:val="22"/>
          <w:szCs w:val="22"/>
          <w:lang w:val="en"/>
        </w:rPr>
        <w:t>3</w:t>
      </w:r>
      <w:bookmarkEnd w:id="5"/>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Doctoral students who, after the mid-term evaluation, are employed as academic teachers at the University</w:t>
      </w:r>
      <w:r>
        <w:rPr>
          <w:rFonts w:ascii="Times New Roman" w:hAnsi="Times New Roman" w:cs="Times New Roman"/>
          <w:color w:val="auto"/>
          <w:sz w:val="22"/>
          <w:szCs w:val="22"/>
          <w:lang w:val="en"/>
        </w:rPr>
        <w:t xml:space="preserve"> and conduct classes at the University</w:t>
      </w:r>
      <w:r>
        <w:rPr>
          <w:rFonts w:ascii="Times New Roman" w:hAnsi="Times New Roman" w:cs="Times New Roman"/>
          <w:color w:val="auto"/>
          <w:sz w:val="22"/>
          <w:szCs w:val="22"/>
          <w:lang w:val="en"/>
        </w:rPr>
        <w:t>, are exempt from practice requirements.</w:t>
      </w:r>
    </w:p>
    <w:p w14:paraId="00143B73" w14:textId="77777777" w:rsidR="0046023B" w:rsidRPr="0018346C" w:rsidRDefault="0018346C" w:rsidP="00EF1DD2">
      <w:pPr>
        <w:spacing w:before="240" w:line="264" w:lineRule="auto"/>
        <w:ind w:left="425" w:hanging="425"/>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 xml:space="preserve">§ </w:t>
      </w:r>
      <w:r>
        <w:rPr>
          <w:rFonts w:ascii="Times New Roman" w:hAnsi="Times New Roman" w:cs="Times New Roman"/>
          <w:b/>
          <w:bCs/>
          <w:color w:val="auto"/>
          <w:sz w:val="22"/>
          <w:szCs w:val="22"/>
          <w:lang w:val="en"/>
        </w:rPr>
        <w:t>3</w:t>
      </w:r>
    </w:p>
    <w:p w14:paraId="23395676"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6" w:name="bookmark6"/>
      <w:r>
        <w:rPr>
          <w:rFonts w:ascii="Times New Roman" w:hAnsi="Times New Roman" w:cs="Times New Roman"/>
          <w:color w:val="auto"/>
          <w:sz w:val="22"/>
          <w:szCs w:val="22"/>
          <w:lang w:val="en"/>
        </w:rPr>
        <w:t>1</w:t>
      </w:r>
      <w:bookmarkEnd w:id="6"/>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The doctoral student does not receive any compensation for activities carried out as part of the annual mandatory practice.</w:t>
      </w:r>
    </w:p>
    <w:p w14:paraId="69B6C2BC"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7" w:name="bookmark7"/>
      <w:r>
        <w:rPr>
          <w:rFonts w:ascii="Times New Roman" w:hAnsi="Times New Roman" w:cs="Times New Roman"/>
          <w:color w:val="auto"/>
          <w:sz w:val="22"/>
          <w:szCs w:val="22"/>
          <w:lang w:val="en"/>
        </w:rPr>
        <w:t>2</w:t>
      </w:r>
      <w:bookmarkEnd w:id="7"/>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r>
      <w:r>
        <w:rPr>
          <w:rFonts w:ascii="Times New Roman" w:hAnsi="Times New Roman" w:cs="Times New Roman"/>
          <w:color w:val="auto"/>
          <w:sz w:val="22"/>
          <w:szCs w:val="22"/>
          <w:lang w:val="en"/>
        </w:rPr>
        <w:t>If the completed practice exceeds the number of hours required for a given academic year, it may be credited towards practice in the following academic year, with the prior approval of the Head of the Doctoral School.</w:t>
      </w:r>
    </w:p>
    <w:p w14:paraId="235993EB" w14:textId="77777777" w:rsidR="0046023B" w:rsidRPr="0018346C" w:rsidRDefault="0018346C" w:rsidP="00EF1DD2">
      <w:pPr>
        <w:spacing w:before="240" w:line="264" w:lineRule="auto"/>
        <w:ind w:left="425" w:hanging="425"/>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 xml:space="preserve">§ </w:t>
      </w:r>
      <w:r>
        <w:rPr>
          <w:rFonts w:ascii="Times New Roman" w:hAnsi="Times New Roman" w:cs="Times New Roman"/>
          <w:b/>
          <w:bCs/>
          <w:color w:val="auto"/>
          <w:sz w:val="22"/>
          <w:szCs w:val="22"/>
          <w:lang w:val="en"/>
        </w:rPr>
        <w:t>4</w:t>
      </w:r>
    </w:p>
    <w:p w14:paraId="3E8C6E3F"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8" w:name="bookmark8"/>
      <w:r>
        <w:rPr>
          <w:rFonts w:ascii="Times New Roman" w:hAnsi="Times New Roman" w:cs="Times New Roman"/>
          <w:color w:val="auto"/>
          <w:sz w:val="22"/>
          <w:szCs w:val="22"/>
          <w:lang w:val="en"/>
        </w:rPr>
        <w:t>1</w:t>
      </w:r>
      <w:bookmarkEnd w:id="8"/>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r>
      <w:r>
        <w:rPr>
          <w:rFonts w:ascii="Times New Roman" w:hAnsi="Times New Roman" w:cs="Times New Roman"/>
          <w:color w:val="auto"/>
          <w:sz w:val="22"/>
          <w:szCs w:val="22"/>
          <w:lang w:val="en"/>
        </w:rPr>
        <w:t>The responsibility for ensuring that doctoral students can conduct teaching activities as part of their practice is entrusted to the directors of the institutes in which the supervisors of doctoral students are employed.</w:t>
      </w:r>
    </w:p>
    <w:p w14:paraId="2C6E327E"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9" w:name="bookmark9"/>
      <w:r>
        <w:rPr>
          <w:rFonts w:ascii="Times New Roman" w:hAnsi="Times New Roman" w:cs="Times New Roman"/>
          <w:color w:val="auto"/>
          <w:sz w:val="22"/>
          <w:szCs w:val="22"/>
          <w:lang w:val="en"/>
        </w:rPr>
        <w:t>2</w:t>
      </w:r>
      <w:bookmarkEnd w:id="9"/>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In justified cases, the Head of the Doctoral School may assign another institute as the location for practice, or any part thereof, rather than the one where the supervisor is employed.</w:t>
      </w:r>
    </w:p>
    <w:p w14:paraId="32B219B0" w14:textId="0332401D"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0" w:name="bookmark10"/>
      <w:r>
        <w:rPr>
          <w:rFonts w:ascii="Times New Roman" w:hAnsi="Times New Roman" w:cs="Times New Roman"/>
          <w:color w:val="auto"/>
          <w:sz w:val="22"/>
          <w:szCs w:val="22"/>
          <w:lang w:val="en"/>
        </w:rPr>
        <w:t>3</w:t>
      </w:r>
      <w:bookmarkEnd w:id="10"/>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The directors of institutes designated by the Vice-Rector for Academic Affairs responsible for ensuring practice opportunities for doctoral candidates whose supervisors are not employed at the University</w:t>
      </w:r>
      <w:r>
        <w:rPr>
          <w:rFonts w:ascii="Times New Roman" w:hAnsi="Times New Roman" w:cs="Times New Roman"/>
          <w:color w:val="auto"/>
          <w:sz w:val="22"/>
          <w:szCs w:val="22"/>
          <w:lang w:val="en"/>
        </w:rPr>
        <w:t>.</w:t>
      </w:r>
    </w:p>
    <w:p w14:paraId="759048B4" w14:textId="77777777" w:rsidR="0046023B" w:rsidRPr="0018346C" w:rsidRDefault="0018346C" w:rsidP="00EF1DD2">
      <w:pPr>
        <w:spacing w:before="240" w:line="264" w:lineRule="auto"/>
        <w:ind w:left="425" w:hanging="425"/>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 xml:space="preserve">§ </w:t>
      </w:r>
      <w:r>
        <w:rPr>
          <w:rFonts w:ascii="Times New Roman" w:hAnsi="Times New Roman" w:cs="Times New Roman"/>
          <w:b/>
          <w:bCs/>
          <w:color w:val="auto"/>
          <w:sz w:val="22"/>
          <w:szCs w:val="22"/>
          <w:lang w:val="en"/>
        </w:rPr>
        <w:t>5</w:t>
      </w:r>
    </w:p>
    <w:p w14:paraId="737CD10C" w14:textId="01056576"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1" w:name="bookmark11"/>
      <w:r>
        <w:rPr>
          <w:rFonts w:ascii="Times New Roman" w:hAnsi="Times New Roman" w:cs="Times New Roman"/>
          <w:color w:val="auto"/>
          <w:sz w:val="22"/>
          <w:szCs w:val="22"/>
          <w:lang w:val="en"/>
        </w:rPr>
        <w:t>1</w:t>
      </w:r>
      <w:bookmarkEnd w:id="11"/>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 xml:space="preserve">Prior to the commencement of teaching assignments for classes to be held in the next academic year, the Secretary’s Office of the Doctoral School provides the institute directors with the </w:t>
      </w:r>
      <w:r>
        <w:rPr>
          <w:rFonts w:ascii="Times New Roman" w:hAnsi="Times New Roman" w:cs="Times New Roman"/>
          <w:color w:val="auto"/>
          <w:sz w:val="22"/>
          <w:szCs w:val="22"/>
          <w:lang w:val="en"/>
        </w:rPr>
        <w:lastRenderedPageBreak/>
        <w:t>requirements for teaching hours for doctoral students, along with a summary that includes the formal qualifications and research interests of individual doctoral students.</w:t>
      </w:r>
    </w:p>
    <w:p w14:paraId="166CBCF0" w14:textId="3E343B1B"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2" w:name="bookmark12"/>
      <w:r>
        <w:rPr>
          <w:rFonts w:ascii="Times New Roman" w:hAnsi="Times New Roman" w:cs="Times New Roman"/>
          <w:color w:val="auto"/>
          <w:sz w:val="22"/>
          <w:szCs w:val="22"/>
          <w:lang w:val="en"/>
        </w:rPr>
        <w:t>2</w:t>
      </w:r>
      <w:bookmarkEnd w:id="12"/>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Assignment of doctoral students to practice classes should precede the allocation of overtime hours to employees at the University</w:t>
      </w:r>
      <w:r>
        <w:rPr>
          <w:rFonts w:ascii="Times New Roman" w:hAnsi="Times New Roman" w:cs="Times New Roman"/>
          <w:color w:val="auto"/>
          <w:sz w:val="22"/>
          <w:szCs w:val="22"/>
          <w:lang w:val="en"/>
        </w:rPr>
        <w:t xml:space="preserve"> and the hiring of external staff under contracts of mandates and contracts for specific work.</w:t>
      </w:r>
    </w:p>
    <w:p w14:paraId="6498F52A"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3" w:name="bookmark13"/>
      <w:r>
        <w:rPr>
          <w:rFonts w:ascii="Times New Roman" w:hAnsi="Times New Roman" w:cs="Times New Roman"/>
          <w:color w:val="auto"/>
          <w:sz w:val="22"/>
          <w:szCs w:val="22"/>
          <w:lang w:val="en"/>
        </w:rPr>
        <w:t>3</w:t>
      </w:r>
      <w:bookmarkEnd w:id="13"/>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If institute directors do not allocate teaching assignments, supplementary assignments for doctoral students are made by program directors.</w:t>
      </w:r>
    </w:p>
    <w:p w14:paraId="5B022C04" w14:textId="77777777" w:rsidR="0046023B" w:rsidRPr="0018346C" w:rsidRDefault="0018346C" w:rsidP="00EF1DD2">
      <w:pPr>
        <w:spacing w:before="240" w:line="264" w:lineRule="auto"/>
        <w:ind w:left="425" w:hanging="425"/>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 xml:space="preserve">§ </w:t>
      </w:r>
      <w:r>
        <w:rPr>
          <w:rFonts w:ascii="Times New Roman" w:hAnsi="Times New Roman" w:cs="Times New Roman"/>
          <w:b/>
          <w:bCs/>
          <w:color w:val="auto"/>
          <w:sz w:val="22"/>
          <w:szCs w:val="22"/>
          <w:lang w:val="en"/>
        </w:rPr>
        <w:t>6</w:t>
      </w:r>
    </w:p>
    <w:p w14:paraId="7D5F7489"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4" w:name="bookmark14"/>
      <w:r>
        <w:rPr>
          <w:rFonts w:ascii="Times New Roman" w:hAnsi="Times New Roman" w:cs="Times New Roman"/>
          <w:color w:val="auto"/>
          <w:sz w:val="22"/>
          <w:szCs w:val="22"/>
          <w:lang w:val="en"/>
        </w:rPr>
        <w:t>1</w:t>
      </w:r>
      <w:bookmarkEnd w:id="14"/>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Academic supervision of practice rests with the supervisors of individual doctoral students.</w:t>
      </w:r>
    </w:p>
    <w:p w14:paraId="520698DD"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1a. In consultation with the supervisor, the doctoral student draws up a practice plan for the academic year and fills out the Doctoral Student’s Individual Practice Card (Appendix No. 1 hereto) with a list of classes to be conducted.</w:t>
      </w:r>
    </w:p>
    <w:p w14:paraId="6223421B"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5" w:name="bookmark15"/>
      <w:r>
        <w:rPr>
          <w:rFonts w:ascii="Times New Roman" w:hAnsi="Times New Roman" w:cs="Times New Roman"/>
          <w:color w:val="auto"/>
          <w:sz w:val="22"/>
          <w:szCs w:val="22"/>
          <w:lang w:val="en"/>
        </w:rPr>
        <w:t>2</w:t>
      </w:r>
      <w:bookmarkEnd w:id="15"/>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Before the first classes independently taught by a doctoral student, the supervisor should review the syllabus of the course to be taught by the doctoral student and then observe the classes taught by the doctoral student at least twice during the academic year in a situation where the doctoral student teaches 60 hours or once where the doctoral student teaches 30 hours.</w:t>
      </w:r>
    </w:p>
    <w:p w14:paraId="7DABEE41"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2a. After the classes conducted by the doctoral student, the supervisor fills out the Observation Sheet (Appendix No. 2 hereto) and discusses it with the doctoral student. The completed sheets from the two observations are submitted by the doctoral student together with the Doctoral Student’s Individual Practice Card to the Secretary’s Office of the Doctoral School.</w:t>
      </w:r>
    </w:p>
    <w:p w14:paraId="47E03BC2"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6" w:name="bookmark16"/>
      <w:r>
        <w:rPr>
          <w:rFonts w:ascii="Times New Roman" w:hAnsi="Times New Roman" w:cs="Times New Roman"/>
          <w:color w:val="auto"/>
          <w:sz w:val="22"/>
          <w:szCs w:val="22"/>
          <w:lang w:val="en"/>
        </w:rPr>
        <w:t>3</w:t>
      </w:r>
      <w:bookmarkEnd w:id="16"/>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The supervisor certifies the completion of practice by making an entry in the USOS system and approving the Individual Practice Card.</w:t>
      </w:r>
    </w:p>
    <w:p w14:paraId="00615CF8" w14:textId="77777777" w:rsidR="0046023B" w:rsidRPr="0018346C" w:rsidRDefault="0018346C" w:rsidP="00EF1DD2">
      <w:pPr>
        <w:spacing w:before="240" w:line="264" w:lineRule="auto"/>
        <w:ind w:left="425" w:hanging="425"/>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 xml:space="preserve">§ </w:t>
      </w:r>
      <w:r>
        <w:rPr>
          <w:rFonts w:ascii="Times New Roman" w:hAnsi="Times New Roman" w:cs="Times New Roman"/>
          <w:b/>
          <w:bCs/>
          <w:color w:val="auto"/>
          <w:sz w:val="22"/>
          <w:szCs w:val="22"/>
          <w:lang w:val="en"/>
        </w:rPr>
        <w:t>7</w:t>
      </w:r>
    </w:p>
    <w:p w14:paraId="32384141" w14:textId="5CA783AF"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7" w:name="bookmark17"/>
      <w:r>
        <w:rPr>
          <w:rFonts w:ascii="Times New Roman" w:hAnsi="Times New Roman" w:cs="Times New Roman"/>
          <w:color w:val="auto"/>
          <w:sz w:val="22"/>
          <w:szCs w:val="22"/>
          <w:lang w:val="en"/>
        </w:rPr>
        <w:t>1</w:t>
      </w:r>
      <w:bookmarkEnd w:id="17"/>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The University</w:t>
      </w:r>
      <w:r>
        <w:rPr>
          <w:rFonts w:ascii="Times New Roman" w:hAnsi="Times New Roman" w:cs="Times New Roman"/>
          <w:color w:val="auto"/>
          <w:sz w:val="22"/>
          <w:szCs w:val="22"/>
          <w:lang w:val="en"/>
        </w:rPr>
        <w:t xml:space="preserve"> has introduced Doctoral Student’s Individual Practice Card, the template of which is included in Appendix No. 3 hereto.</w:t>
      </w:r>
    </w:p>
    <w:p w14:paraId="332C2612"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8" w:name="bookmark18"/>
      <w:r>
        <w:rPr>
          <w:rFonts w:ascii="Times New Roman" w:hAnsi="Times New Roman" w:cs="Times New Roman"/>
          <w:color w:val="auto"/>
          <w:sz w:val="22"/>
          <w:szCs w:val="22"/>
          <w:lang w:val="en"/>
        </w:rPr>
        <w:t>2</w:t>
      </w:r>
      <w:bookmarkEnd w:id="18"/>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The Doctoral Student’s Individual Practice Card includes a list of classes conducted by the doctoral student during the academic year and a description of practice activities performed.</w:t>
      </w:r>
    </w:p>
    <w:p w14:paraId="3FBD3F08" w14:textId="5555EE45"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19" w:name="bookmark19"/>
      <w:r>
        <w:rPr>
          <w:rFonts w:ascii="Times New Roman" w:hAnsi="Times New Roman" w:cs="Times New Roman"/>
          <w:color w:val="auto"/>
          <w:sz w:val="22"/>
          <w:szCs w:val="22"/>
          <w:lang w:val="en"/>
        </w:rPr>
        <w:t>3</w:t>
      </w:r>
      <w:bookmarkEnd w:id="19"/>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Verification of completion of classes independently conducted by the doctoral student is made by the Head of Office for Educational Organization and Planning at the University</w:t>
      </w:r>
      <w:r>
        <w:rPr>
          <w:rFonts w:ascii="Times New Roman" w:hAnsi="Times New Roman" w:cs="Times New Roman"/>
          <w:color w:val="auto"/>
          <w:sz w:val="22"/>
          <w:szCs w:val="22"/>
          <w:lang w:val="en"/>
        </w:rPr>
        <w:t xml:space="preserve"> on the Doctoral Student’s Individual Practice Card.</w:t>
      </w:r>
    </w:p>
    <w:p w14:paraId="5A27DC1D"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20" w:name="bookmark20"/>
      <w:r>
        <w:rPr>
          <w:rFonts w:ascii="Times New Roman" w:hAnsi="Times New Roman" w:cs="Times New Roman"/>
          <w:color w:val="auto"/>
          <w:sz w:val="22"/>
          <w:szCs w:val="22"/>
          <w:lang w:val="en"/>
        </w:rPr>
        <w:t>4</w:t>
      </w:r>
      <w:bookmarkEnd w:id="20"/>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Participation in teaching activities by the doctoral student is confirmed by the academic teacher formally responsible for the course putting their signature to the Doctoral Student’s Individual Practice Card.</w:t>
      </w:r>
    </w:p>
    <w:p w14:paraId="463425F1" w14:textId="6F855D59"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21" w:name="bookmark21"/>
      <w:r>
        <w:rPr>
          <w:rFonts w:ascii="Times New Roman" w:hAnsi="Times New Roman" w:cs="Times New Roman"/>
          <w:color w:val="auto"/>
          <w:sz w:val="22"/>
          <w:szCs w:val="22"/>
          <w:lang w:val="en"/>
        </w:rPr>
        <w:t>5</w:t>
      </w:r>
      <w:bookmarkEnd w:id="21"/>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Completion of alternative forms of practice by the doctoral student, i.e. other than conducting or participating in teaching classes at the University</w:t>
      </w:r>
      <w:r>
        <w:rPr>
          <w:rFonts w:ascii="Times New Roman" w:hAnsi="Times New Roman" w:cs="Times New Roman"/>
          <w:color w:val="auto"/>
          <w:sz w:val="22"/>
          <w:szCs w:val="22"/>
          <w:lang w:val="en"/>
        </w:rPr>
        <w:t>, is confirmed by the supervisor.</w:t>
      </w:r>
    </w:p>
    <w:p w14:paraId="59A06D7C" w14:textId="77777777" w:rsidR="0046023B" w:rsidRPr="0018346C" w:rsidRDefault="0018346C" w:rsidP="00EF1DD2">
      <w:pPr>
        <w:spacing w:line="264" w:lineRule="auto"/>
        <w:ind w:left="425" w:hanging="425"/>
        <w:jc w:val="both"/>
        <w:rPr>
          <w:rFonts w:ascii="Times New Roman" w:hAnsi="Times New Roman" w:cs="Times New Roman"/>
          <w:color w:val="auto"/>
          <w:sz w:val="22"/>
          <w:szCs w:val="22"/>
          <w:lang w:val="en-GB"/>
        </w:rPr>
      </w:pPr>
      <w:bookmarkStart w:id="22" w:name="bookmark22"/>
      <w:r>
        <w:rPr>
          <w:rFonts w:ascii="Times New Roman" w:hAnsi="Times New Roman" w:cs="Times New Roman"/>
          <w:color w:val="auto"/>
          <w:sz w:val="22"/>
          <w:szCs w:val="22"/>
          <w:lang w:val="en"/>
        </w:rPr>
        <w:t>6</w:t>
      </w:r>
      <w:bookmarkEnd w:id="22"/>
      <w:r>
        <w:rPr>
          <w:rFonts w:ascii="Times New Roman" w:hAnsi="Times New Roman" w:cs="Times New Roman"/>
          <w:color w:val="auto"/>
          <w:sz w:val="22"/>
          <w:szCs w:val="22"/>
          <w:lang w:val="en"/>
        </w:rPr>
        <w:t>.</w:t>
      </w:r>
      <w:r>
        <w:rPr>
          <w:rFonts w:ascii="Times New Roman" w:hAnsi="Times New Roman" w:cs="Times New Roman"/>
          <w:color w:val="auto"/>
          <w:sz w:val="22"/>
          <w:szCs w:val="22"/>
          <w:lang w:val="en"/>
        </w:rPr>
        <w:tab/>
        <w:t>Once verified and approved by the Head of the Doctoral School, the Doctoral Student’s Individual Practice Card is kept in educational progress records.</w:t>
      </w:r>
    </w:p>
    <w:p w14:paraId="7A950D34" w14:textId="77777777" w:rsidR="0046023B" w:rsidRPr="0018346C" w:rsidRDefault="0018346C" w:rsidP="00EF1DD2">
      <w:pPr>
        <w:spacing w:before="240" w:line="264" w:lineRule="auto"/>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 xml:space="preserve">§ </w:t>
      </w:r>
      <w:r>
        <w:rPr>
          <w:rFonts w:ascii="Times New Roman" w:hAnsi="Times New Roman" w:cs="Times New Roman"/>
          <w:b/>
          <w:bCs/>
          <w:color w:val="auto"/>
          <w:sz w:val="22"/>
          <w:szCs w:val="22"/>
          <w:lang w:val="en"/>
        </w:rPr>
        <w:t>8</w:t>
      </w:r>
    </w:p>
    <w:p w14:paraId="432877F4" w14:textId="77777777" w:rsidR="0046023B" w:rsidRPr="0018346C" w:rsidRDefault="0018346C" w:rsidP="00FB6969">
      <w:pPr>
        <w:spacing w:line="264" w:lineRule="auto"/>
        <w:jc w:val="cente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t>The Regulations shall enter into force on 1 October 2019.</w:t>
      </w:r>
    </w:p>
    <w:sectPr w:rsidR="0046023B" w:rsidRPr="0018346C" w:rsidSect="00C14486">
      <w:type w:val="continuous"/>
      <w:pgSz w:w="11909" w:h="16840"/>
      <w:pgMar w:top="1418" w:right="1276" w:bottom="1531"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B4B60" w14:textId="77777777" w:rsidR="00374271" w:rsidRDefault="00374271">
      <w:r>
        <w:separator/>
      </w:r>
    </w:p>
  </w:endnote>
  <w:endnote w:type="continuationSeparator" w:id="0">
    <w:p w14:paraId="35EECB38" w14:textId="77777777" w:rsidR="00374271" w:rsidRDefault="0037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09C7C" w14:textId="77777777" w:rsidR="00374271" w:rsidRDefault="00374271"/>
  </w:footnote>
  <w:footnote w:type="continuationSeparator" w:id="0">
    <w:p w14:paraId="047C101A" w14:textId="77777777" w:rsidR="00374271" w:rsidRDefault="0037427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3B"/>
    <w:rsid w:val="0018346C"/>
    <w:rsid w:val="00374271"/>
    <w:rsid w:val="0046023B"/>
    <w:rsid w:val="00C14486"/>
    <w:rsid w:val="00D95451"/>
    <w:rsid w:val="00EF1DD2"/>
    <w:rsid w:val="00F073A5"/>
    <w:rsid w:val="00FB6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2449"/>
  <w15:docId w15:val="{132FDD6C-DDA3-47B8-A889-78C3A888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4862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Zalacznik_6_Uchwala_524_2023</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Zalacznik_6_Uchwala_524_2023</dc:title>
  <dc:subject/>
  <dc:creator>Artur Szalon</dc:creator>
  <cp:keywords/>
  <cp:lastModifiedBy>Patrycja Stachula</cp:lastModifiedBy>
  <cp:revision>3</cp:revision>
  <dcterms:created xsi:type="dcterms:W3CDTF">2024-10-23T23:02:00Z</dcterms:created>
  <dcterms:modified xsi:type="dcterms:W3CDTF">2025-01-10T10:48:00Z</dcterms:modified>
</cp:coreProperties>
</file>